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8B1C43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8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-  </w:t>
      </w:r>
      <w:r w:rsidR="002E3423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STACJE DOKUJĄCE ORAZ  POMPY INFUZYJNE</w:t>
      </w:r>
      <w:r w:rsidR="008B1C43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CD6077" w:rsidP="0062704A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CD6077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POMPY INFUZYJNE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CD6077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  <w:r w:rsidR="0062704A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5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CD6077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62704A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STACJE DOKUJĄCE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CD6077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="00EF374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EF374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</w:t>
      </w:r>
      <w:r w:rsidR="00EF374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5A65A4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5A65A4" w:rsidRDefault="005A65A4" w:rsidP="005A65A4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5A65A4" w:rsidRDefault="005A65A4" w:rsidP="005A65A4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F3E49" w:rsidRDefault="00DF3E49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F3E49" w:rsidRDefault="00DF3E49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377763" w:rsidRDefault="00377763" w:rsidP="00FD63C2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E046D0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lastRenderedPageBreak/>
        <w:t>Załącznik nr. 3 do SIWZ</w:t>
      </w:r>
    </w:p>
    <w:p w:rsidR="00D374D1" w:rsidRPr="00D374D1" w:rsidRDefault="00D374D1" w:rsidP="00B40B02">
      <w:pPr>
        <w:widowControl w:val="0"/>
        <w:numPr>
          <w:ilvl w:val="0"/>
          <w:numId w:val="5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D374D1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</w:t>
      </w:r>
      <w:r w:rsidR="00B40B02" w:rsidRPr="00B40B02">
        <w:rPr>
          <w:rFonts w:ascii="Tahoma" w:hAnsi="Tahoma" w:cs="Tahoma"/>
          <w:b/>
          <w:color w:val="00000A"/>
          <w:kern w:val="3"/>
          <w:sz w:val="18"/>
          <w:szCs w:val="18"/>
        </w:rPr>
        <w:t>POMP</w:t>
      </w:r>
      <w:r w:rsidR="00ED15C8">
        <w:rPr>
          <w:rFonts w:ascii="Tahoma" w:hAnsi="Tahoma" w:cs="Tahoma"/>
          <w:b/>
          <w:color w:val="00000A"/>
          <w:kern w:val="3"/>
          <w:sz w:val="18"/>
          <w:szCs w:val="18"/>
        </w:rPr>
        <w:t>Y INFUZYJNE</w:t>
      </w:r>
    </w:p>
    <w:p w:rsidR="006409B7" w:rsidRPr="000550E8" w:rsidRDefault="00D374D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F83E85" w:rsidRPr="00FD63C2" w:rsidRDefault="006409B7" w:rsidP="00FD63C2">
      <w:pPr>
        <w:rPr>
          <w:b/>
          <w:sz w:val="20"/>
        </w:rPr>
      </w:pPr>
      <w:r>
        <w:rPr>
          <w:sz w:val="20"/>
        </w:rPr>
        <w:t xml:space="preserve"> </w:t>
      </w:r>
    </w:p>
    <w:tbl>
      <w:tblPr>
        <w:tblW w:w="14459" w:type="dxa"/>
        <w:tblInd w:w="704" w:type="dxa"/>
        <w:shd w:val="clear" w:color="auto" w:fill="CED7E7"/>
        <w:tblLayout w:type="fixed"/>
        <w:tblLook w:val="0000" w:firstRow="0" w:lastRow="0" w:firstColumn="0" w:lastColumn="0" w:noHBand="0" w:noVBand="0"/>
      </w:tblPr>
      <w:tblGrid>
        <w:gridCol w:w="992"/>
        <w:gridCol w:w="6804"/>
        <w:gridCol w:w="2694"/>
        <w:gridCol w:w="3969"/>
      </w:tblGrid>
      <w:tr w:rsidR="00FD63C2" w:rsidTr="00CD61AE">
        <w:trPr>
          <w:cantSplit/>
          <w:trHeight w:val="4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3C2" w:rsidRDefault="00FD63C2" w:rsidP="00FD63C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3C2" w:rsidRDefault="00FD63C2" w:rsidP="00FD63C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Parametr</w:t>
            </w:r>
          </w:p>
          <w:p w:rsidR="00FD63C2" w:rsidRDefault="00FD63C2" w:rsidP="00FD63C2">
            <w:pPr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3C2" w:rsidRDefault="002C75E4" w:rsidP="00FD63C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wymagana/oceniana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3C2" w:rsidRDefault="002C75E4" w:rsidP="00FD63C2">
            <w:pPr>
              <w:jc w:val="center"/>
            </w:pPr>
            <w:r>
              <w:rPr>
                <w:b/>
                <w:sz w:val="20"/>
              </w:rPr>
              <w:t>Wartość oferowana</w:t>
            </w:r>
          </w:p>
        </w:tc>
      </w:tr>
      <w:tr w:rsidR="00FD63C2" w:rsidTr="00CD61AE">
        <w:trPr>
          <w:cantSplit/>
          <w:trHeight w:val="4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3C2" w:rsidRPr="00CD61AE" w:rsidRDefault="00FD63C2" w:rsidP="00CD61AE">
            <w:pPr>
              <w:pStyle w:val="Akapitzlist"/>
              <w:numPr>
                <w:ilvl w:val="0"/>
                <w:numId w:val="19"/>
              </w:numPr>
              <w:overflowPunct/>
              <w:autoSpaceDE/>
              <w:autoSpaceDN/>
              <w:adjustRightInd/>
              <w:textAlignment w:val="auto"/>
              <w:rPr>
                <w:rFonts w:eastAsia="Cambria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3C2" w:rsidRDefault="00FD63C2" w:rsidP="00FD63C2">
            <w:pPr>
              <w:rPr>
                <w:sz w:val="20"/>
              </w:rPr>
            </w:pPr>
            <w:r w:rsidRPr="00C14D57">
              <w:rPr>
                <w:sz w:val="20"/>
              </w:rPr>
              <w:t xml:space="preserve">Urządzenie fabrycznie nowe, </w:t>
            </w:r>
            <w:proofErr w:type="spellStart"/>
            <w:r w:rsidRPr="00C14D57">
              <w:rPr>
                <w:sz w:val="20"/>
              </w:rPr>
              <w:t>nierekondycjonowane</w:t>
            </w:r>
            <w:proofErr w:type="spellEnd"/>
            <w:r w:rsidRPr="00C14D57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3C2" w:rsidRDefault="00FD63C2" w:rsidP="00FD63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3C2" w:rsidRDefault="00FD63C2" w:rsidP="00FD63C2">
            <w:pPr>
              <w:snapToGrid w:val="0"/>
              <w:rPr>
                <w:sz w:val="20"/>
              </w:rPr>
            </w:pPr>
          </w:p>
        </w:tc>
      </w:tr>
      <w:tr w:rsidR="00F83E85" w:rsidTr="00CD61AE">
        <w:trPr>
          <w:cantSplit/>
          <w:trHeight w:val="4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C4B26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C4B26" w:rsidRDefault="00F83E85" w:rsidP="004B7C9F">
            <w:pPr>
              <w:pStyle w:val="Normalny1"/>
              <w:rPr>
                <w:rFonts w:ascii="Times New Roman" w:hAnsi="Times New Roman"/>
                <w:bCs w:val="0"/>
                <w:sz w:val="20"/>
                <w:szCs w:val="20"/>
              </w:rPr>
            </w:pPr>
            <w:r w:rsidRPr="00AC4B26">
              <w:rPr>
                <w:rFonts w:ascii="Times New Roman" w:hAnsi="Times New Roman"/>
                <w:bCs w:val="0"/>
                <w:sz w:val="20"/>
                <w:szCs w:val="20"/>
              </w:rPr>
              <w:t>Stosowanie strzykawek 2, 5, 10, 20, 30, 50 ml. Podać typ i producenta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C4B26" w:rsidRDefault="00F83E85" w:rsidP="004B7C9F">
            <w:pPr>
              <w:pStyle w:val="Normalny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B26">
              <w:rPr>
                <w:rFonts w:ascii="Times New Roman" w:hAnsi="Times New Roman"/>
                <w:sz w:val="20"/>
                <w:szCs w:val="20"/>
              </w:rPr>
              <w:t>TAK – 10 pkt</w:t>
            </w:r>
          </w:p>
          <w:p w:rsidR="00F83E85" w:rsidRPr="00AC4B26" w:rsidRDefault="00F83E85" w:rsidP="004B7C9F">
            <w:pPr>
              <w:pStyle w:val="Normalny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B26">
              <w:rPr>
                <w:rFonts w:ascii="Times New Roman" w:hAnsi="Times New Roman"/>
                <w:sz w:val="20"/>
                <w:szCs w:val="20"/>
              </w:rPr>
              <w:t>NIE – 0 pkt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Strzykawki montowane od czoła a nie od góry pompy.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Ramię pompy niewychodzące poza gabaryt obudowy.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4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Klawiatura numeryczna umożliwiająca szybkie i bezpieczne programowanie pompy.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4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Wysokość pompy zapewniająca wygodną obsługę do 8 pomp, zamocowanych jedna nad drugą -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maks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12 cm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Szybkość dozowania w zakresie 0,1-1800 ml/h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24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Programowanie parametrów infuzji w jednostkach: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7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ml,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7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ng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μg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, mg,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7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μEq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mEq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Eq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7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mIU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IU,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kIU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7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mIE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IE,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kIE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7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cal, kcal, J,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kJ</w:t>
            </w:r>
            <w:proofErr w:type="spellEnd"/>
          </w:p>
          <w:p w:rsidR="00F83E85" w:rsidRDefault="00F83E85" w:rsidP="00F83E85">
            <w:pPr>
              <w:pStyle w:val="Normalny1"/>
              <w:numPr>
                <w:ilvl w:val="0"/>
                <w:numId w:val="17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jednostki molowe</w:t>
            </w:r>
          </w:p>
          <w:p w:rsidR="00F83E85" w:rsidRDefault="00F83E85" w:rsidP="004B7C9F">
            <w:pPr>
              <w:pStyle w:val="Normalny1"/>
              <w:ind w:left="36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z uwzględnieniem wagi pacjenta lub nie,</w:t>
            </w:r>
          </w:p>
          <w:p w:rsidR="00F83E85" w:rsidRDefault="00F83E85" w:rsidP="004B7C9F">
            <w:pPr>
              <w:pStyle w:val="Normalny1"/>
              <w:ind w:left="36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z uwzględnieniem powierzchni pacjenta lub nie,</w:t>
            </w:r>
          </w:p>
          <w:p w:rsidR="00F83E85" w:rsidRDefault="00F83E85" w:rsidP="004B7C9F">
            <w:pPr>
              <w:pStyle w:val="Normalny1"/>
              <w:ind w:left="360"/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na min, godz. dobę.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110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Wymagane tryby dozowania:</w:t>
            </w:r>
          </w:p>
          <w:p w:rsidR="00F83E85" w:rsidRDefault="00F83E85" w:rsidP="00F83E85">
            <w:pPr>
              <w:pStyle w:val="Normalny1"/>
              <w:numPr>
                <w:ilvl w:val="0"/>
                <w:numId w:val="8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Infuzja ciągła,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8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Infuzja bolusowa (z przerwą),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8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Infuzja profilowa (min 12 faz infuzji),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8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Infuzja narastanie / ciągła / opadanie.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Dokładność infuzji 2%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88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Programowanie parametrów podaży Bolus-a i dawki indukcyjnej:</w:t>
            </w:r>
          </w:p>
          <w:p w:rsidR="00F83E85" w:rsidRDefault="00F83E85" w:rsidP="00F83E85">
            <w:pPr>
              <w:pStyle w:val="Normalny1"/>
              <w:numPr>
                <w:ilvl w:val="0"/>
                <w:numId w:val="9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objętość / dawka</w:t>
            </w:r>
          </w:p>
          <w:p w:rsidR="00F83E85" w:rsidRDefault="00F83E85" w:rsidP="00F83E85">
            <w:pPr>
              <w:pStyle w:val="Normalny1"/>
              <w:numPr>
                <w:ilvl w:val="0"/>
                <w:numId w:val="9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czas lub szybkość podaży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66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Automatyczna zmniejszenie szybkości podaży bolusa, w celu uniknięcia przerwania infuzji na skutek alarmu okluzji.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Adreszwrotnynakopercie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46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Biblioteka leków – możliwość zapisania w pompie procedur dozowania leków, każda procedura złożona co najmniej z: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0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nazwy leku,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0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min. 5 koncentracji leku,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0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szybkości dozowania (dawkowanie),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0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całkowitej objętości (dawki) infuzji,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0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parametrów bolusa, oraz dawki indukcyjnej,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0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limitów dla wymienionych parametrów infuzji:</w:t>
            </w:r>
          </w:p>
          <w:p w:rsidR="00F83E85" w:rsidRDefault="00F83E85" w:rsidP="00F83E85">
            <w:pPr>
              <w:pStyle w:val="Normalny1"/>
              <w:numPr>
                <w:ilvl w:val="1"/>
                <w:numId w:val="10"/>
              </w:numPr>
              <w:tabs>
                <w:tab w:val="clear" w:pos="360"/>
              </w:tabs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miękkich, ostrzegających o przekroczeniu zalecanych wartości parametrów, </w:t>
            </w:r>
          </w:p>
          <w:p w:rsidR="00F83E85" w:rsidRDefault="00F83E85" w:rsidP="00F83E85">
            <w:pPr>
              <w:pStyle w:val="Normalny1"/>
              <w:numPr>
                <w:ilvl w:val="1"/>
                <w:numId w:val="10"/>
              </w:numPr>
              <w:tabs>
                <w:tab w:val="clear" w:pos="360"/>
              </w:tabs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twardych – blokujących możliwość wprowadzenia wartości z poza ich zakresu.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0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Notatki doradczej możliwej do odczytania przed rozpoczęciem infuzji.</w:t>
            </w:r>
          </w:p>
          <w:p w:rsidR="00F83E85" w:rsidRDefault="00F83E85" w:rsidP="004B7C9F">
            <w:pPr>
              <w:pStyle w:val="Normalny1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Podział biblioteki na osobne grupy dedykowane poszczególnym oddziałom szpitalnym, do 40 oddziałów. Wybór oddziału dostępny w pompie.</w:t>
            </w:r>
          </w:p>
          <w:p w:rsidR="00F83E85" w:rsidRDefault="00F83E85" w:rsidP="004B7C9F">
            <w:pPr>
              <w:pStyle w:val="Normalny1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Podział biblioteki dedykowanej oddziałom na 40 kategorii lekowych.</w:t>
            </w:r>
          </w:p>
          <w:p w:rsidR="00F83E85" w:rsidRDefault="00F83E85" w:rsidP="004B7C9F">
            <w:pPr>
              <w:pStyle w:val="Normalny1"/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Pojemność biblioteki 5000 procedur dozowania leków.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66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E85" w:rsidRDefault="00F83E85" w:rsidP="004B7C9F">
            <w:pPr>
              <w:pStyle w:val="Normalny1"/>
              <w:tabs>
                <w:tab w:val="left" w:pos="360"/>
              </w:tabs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Dostępność polskojęzycznego oprogramowania komputerowego do tworzenia i przesyłania do pompy biblioteki leków.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Adreszwrotnynakopercie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198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Czytelny, kolorowy wyświetlacz z możliwością wyświetlenia następujących informacji jednocześnie: 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1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nazwa leku,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1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koncentracja leku,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1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nazwa oddziału wybranego w bibliotece,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1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prędkość infuzji,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1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podana dawka,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1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stan naładowania akumulatora,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1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aktualne ciśnienie w drenie, w formie graficznej,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Adreszwrotnynakopercie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Ekran dotykowy, przyspieszający wybór funkcji pompy.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Adreszwrotnynakopercie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Napisy na wyświetlaczu w języku polskim.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Adreszwrotnynakopercie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Regulowane progi ciśnienia okluzji, min 10  poziomów.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Adreszwrotnynakopercie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Zmiana progu ciśnienia okluzji bez przerywania infuzji.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Adreszwrotnynakopercie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Automatyczna redukcja bolusa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okluzyjnego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Adreszwrotnynakopercie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66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tabs>
                <w:tab w:val="left" w:pos="1428"/>
              </w:tabs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Priorytetowy system alarmów, zapewniający zróżnicowany sygnał dźwiękowy i świetlny, zależnie od stopnia zagrożenia.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Adreszwrotnynakopercie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Cs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193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Możliwość instalacji pompy w stacji dokującej: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2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Zatrzaskowe mocowanie z automatyczną blokadą, bez konieczności przykręcania.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2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Alarm nieprawidłowego mocowania pomp w stacji,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2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Pompy mocowane niezależnie, jedna nad drugą, 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2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Automatyczne przyłączenie zasilania ze stacji dokującej,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2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Automatyczne przyłączenie portu komunikacyjnego ze stacji dokującej,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2"/>
              </w:numP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Świetlna sygnalizacja stanu pomp; infuzja, alarm.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83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Mocowanie pojedynczej pompy do statywów lub pionowych kolumn niewymagające dołączenia jakichkolwiek części, w szczególności uchwytu mocującego, po bezpośrednim wyjęciu pompy z stacji dokującej.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66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Mocowanie pomp w stacji dokującej niewymagające odłączenia jakichkolwiek części, w szczególności uchwytu mocującego, po bezpośrednim zdjęciu pompy ze statywu.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66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Uchwyt do przenoszenia pompy na stałe związany z pompą, niewymagający odłączania przy mocowaniu pomp w stacjach dokujących.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306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Możliwość komunikacji pomp umieszczonych w stacjach dokujących poprzez sieć LAN z oprogramowaniem zewnętrznym, służącym do: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8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Podglądu przebiegu infuzji dla każdej pompy w formie danych oraz graficznego wykresu (trendu),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8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Podglądu parametrów infuzji dla każdej pompy,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8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Prezentacji alarmów w pompach oraz wyświetlania ich przyczyny,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8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Prezentacja przewidywanego czasu do o spodziewanej obsługi pompy.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8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Graficznej prezentacji rozmieszczenia łóżek na oddziale oraz statusu infuzji,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8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Archiwizacji informacji o przeprowadzonych infuzjach,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8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Połączenia z szpitalnymi bazami danych w standardzie HL7,</w:t>
            </w:r>
          </w:p>
          <w:p w:rsidR="00F83E85" w:rsidRDefault="00F83E85" w:rsidP="00F83E85">
            <w:pPr>
              <w:pStyle w:val="Normalny1"/>
              <w:numPr>
                <w:ilvl w:val="0"/>
                <w:numId w:val="18"/>
              </w:numPr>
              <w:suppressAutoHyphens w:val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Wpisywania do pomp w sposób automatyczny konfiguracji oraz biblioteki leków,</w:t>
            </w:r>
          </w:p>
          <w:p w:rsidR="00F83E85" w:rsidRDefault="00F83E85" w:rsidP="004B7C9F">
            <w:pPr>
              <w:pStyle w:val="Normalny1"/>
              <w:suppressAutoHyphens w:val="0"/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Dostępność sieciowego, polskojęzycznego oprogramowania do monitorowania infuzji zgodnie z powyższymi wymaganiami. Brak takiego oprogramowania w ofercie wyklucza spełnienie wymagań.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4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Historia infuzji – możliwość zapamiętania min 1900 zdarzeń oznaczonych datą i godziną zdarzenia.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4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Klasa ochrony II, typ CF, odporność na defibrylację, ochrona obudowy IP22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66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Zasilanie pomp mocowanych poza stacją dokującą bezpośrednio z sieci energetycznej – niedopuszczalny jest zasilacz zewnętrzny.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Czas pracy z akumulatora min 20 h  przy infuzji 5ml/h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44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CD61AE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Czas ładowania akumulatora do 100% po pełnym rozładowaniu – poniżej 5 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AE7717" w:rsidRDefault="00F83E85" w:rsidP="004B7C9F">
            <w:pPr>
              <w:pStyle w:val="Normalny1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E7717">
              <w:rPr>
                <w:rFonts w:ascii="Times New Roman" w:hAnsi="Times New Roman"/>
                <w:b w:val="0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F83E85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D16529" w:rsidRDefault="00F83E85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D16529" w:rsidRDefault="00F83E85" w:rsidP="004B7C9F">
            <w:pPr>
              <w:pStyle w:val="Normalny1"/>
              <w:rPr>
                <w:rFonts w:ascii="Times New Roman" w:hAnsi="Times New Roman"/>
                <w:bCs w:val="0"/>
                <w:sz w:val="20"/>
                <w:szCs w:val="20"/>
              </w:rPr>
            </w:pPr>
            <w:r w:rsidRPr="00D16529">
              <w:rPr>
                <w:rFonts w:ascii="Times New Roman" w:hAnsi="Times New Roman"/>
                <w:bCs w:val="0"/>
                <w:sz w:val="20"/>
                <w:szCs w:val="20"/>
              </w:rPr>
              <w:t>Waga do 2,2 kg.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Pr="00D16529" w:rsidRDefault="00F83E85" w:rsidP="004B7C9F">
            <w:pPr>
              <w:pStyle w:val="Normalny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529">
              <w:rPr>
                <w:rFonts w:ascii="Times New Roman" w:hAnsi="Times New Roman"/>
                <w:sz w:val="20"/>
                <w:szCs w:val="20"/>
              </w:rPr>
              <w:t>TAK – 10 pkt</w:t>
            </w:r>
          </w:p>
          <w:p w:rsidR="00F83E85" w:rsidRPr="00D16529" w:rsidRDefault="00F83E85" w:rsidP="004B7C9F">
            <w:pPr>
              <w:pStyle w:val="Normalny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529">
              <w:rPr>
                <w:rFonts w:ascii="Times New Roman" w:hAnsi="Times New Roman"/>
                <w:sz w:val="20"/>
                <w:szCs w:val="20"/>
              </w:rPr>
              <w:t xml:space="preserve">NIE – 0 pkt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E85" w:rsidRDefault="00F83E85" w:rsidP="004B7C9F"/>
        </w:tc>
      </w:tr>
      <w:tr w:rsidR="0028283F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Pr="00CD61AE" w:rsidRDefault="0028283F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Pr="00F06FC8" w:rsidRDefault="0028283F" w:rsidP="0028283F">
            <w:pPr>
              <w:rPr>
                <w:color w:val="000000"/>
                <w:sz w:val="20"/>
              </w:rPr>
            </w:pPr>
            <w:r w:rsidRPr="007C49F3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Pr="00C83A07" w:rsidRDefault="0028283F" w:rsidP="0028283F">
            <w:pPr>
              <w:jc w:val="center"/>
              <w:rPr>
                <w:b/>
                <w:sz w:val="20"/>
              </w:rPr>
            </w:pPr>
            <w:r w:rsidRPr="00C83A07">
              <w:rPr>
                <w:b/>
                <w:sz w:val="20"/>
              </w:rPr>
              <w:t>24 miesiące-    0 pkt</w:t>
            </w:r>
          </w:p>
          <w:p w:rsidR="0028283F" w:rsidRPr="007C49F3" w:rsidRDefault="0028283F" w:rsidP="0028283F">
            <w:pPr>
              <w:jc w:val="center"/>
              <w:rPr>
                <w:b/>
                <w:sz w:val="20"/>
              </w:rPr>
            </w:pPr>
            <w:r w:rsidRPr="00C83A07">
              <w:rPr>
                <w:b/>
                <w:sz w:val="20"/>
              </w:rPr>
              <w:t>36 miesięcy – 20 pkt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Default="0028283F" w:rsidP="0028283F"/>
        </w:tc>
      </w:tr>
      <w:tr w:rsidR="0028283F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Pr="00CD61AE" w:rsidRDefault="0028283F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283F" w:rsidRPr="004B3812" w:rsidRDefault="0028283F" w:rsidP="0028283F">
            <w:pPr>
              <w:rPr>
                <w:sz w:val="20"/>
              </w:rPr>
            </w:pPr>
            <w:r w:rsidRPr="004B3812">
              <w:rPr>
                <w:sz w:val="20"/>
              </w:rPr>
              <w:t>Zapewnienie części zamiennych przez okres 10 lat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283F" w:rsidRDefault="0028283F" w:rsidP="0028283F">
            <w:pPr>
              <w:jc w:val="center"/>
            </w:pPr>
            <w:r w:rsidRPr="00760B2A">
              <w:rPr>
                <w:rFonts w:eastAsia="Cambria" w:cs="Cambria"/>
                <w:bCs/>
                <w:color w:val="000000"/>
                <w:kern w:val="1"/>
                <w:sz w:val="20"/>
                <w:u w:color="000000"/>
                <w:lang w:val="en-US" w:eastAsia="en-US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Default="0028283F" w:rsidP="0028283F"/>
        </w:tc>
      </w:tr>
      <w:tr w:rsidR="0028283F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Pr="00CD61AE" w:rsidRDefault="0028283F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283F" w:rsidRPr="004B3812" w:rsidRDefault="0028283F" w:rsidP="0028283F">
            <w:pPr>
              <w:pStyle w:val="Standard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283F" w:rsidRDefault="0028283F" w:rsidP="0028283F">
            <w:pPr>
              <w:jc w:val="center"/>
            </w:pPr>
            <w:r w:rsidRPr="00760B2A">
              <w:rPr>
                <w:rFonts w:eastAsia="Cambria" w:cs="Cambria"/>
                <w:bCs/>
                <w:color w:val="000000"/>
                <w:kern w:val="1"/>
                <w:sz w:val="20"/>
                <w:u w:color="000000"/>
                <w:lang w:val="en-US" w:eastAsia="en-US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Default="0028283F" w:rsidP="0028283F"/>
        </w:tc>
      </w:tr>
      <w:tr w:rsidR="0028283F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Pr="00CD61AE" w:rsidRDefault="0028283F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283F" w:rsidRPr="0018731B" w:rsidRDefault="0028283F" w:rsidP="0028283F">
            <w:pPr>
              <w:rPr>
                <w:sz w:val="20"/>
              </w:rPr>
            </w:pPr>
            <w:r w:rsidRPr="0018731B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283F" w:rsidRDefault="0028283F" w:rsidP="0028283F">
            <w:pPr>
              <w:jc w:val="center"/>
            </w:pPr>
            <w:r w:rsidRPr="00760B2A">
              <w:rPr>
                <w:rFonts w:eastAsia="Cambria" w:cs="Cambria"/>
                <w:bCs/>
                <w:color w:val="000000"/>
                <w:kern w:val="1"/>
                <w:sz w:val="20"/>
                <w:u w:color="000000"/>
                <w:lang w:val="en-US" w:eastAsia="en-US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Default="0028283F" w:rsidP="0028283F"/>
        </w:tc>
      </w:tr>
      <w:tr w:rsidR="0028283F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Pr="00CD61AE" w:rsidRDefault="0028283F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283F" w:rsidRPr="000B5D61" w:rsidRDefault="0028283F" w:rsidP="0028283F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0B5D6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CB732C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(jeżeli dotyczy)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283F" w:rsidRDefault="0028283F" w:rsidP="0028283F">
            <w:pPr>
              <w:jc w:val="center"/>
            </w:pPr>
            <w:r w:rsidRPr="00760B2A">
              <w:rPr>
                <w:rFonts w:eastAsia="Cambria" w:cs="Cambria"/>
                <w:bCs/>
                <w:color w:val="000000"/>
                <w:kern w:val="1"/>
                <w:sz w:val="20"/>
                <w:u w:color="000000"/>
                <w:lang w:val="en-US" w:eastAsia="en-US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Default="0028283F" w:rsidP="0028283F"/>
        </w:tc>
      </w:tr>
      <w:tr w:rsidR="0028283F" w:rsidTr="00CD61AE">
        <w:trPr>
          <w:cantSplit/>
          <w:trHeight w:val="2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Pr="00CD61AE" w:rsidRDefault="0028283F" w:rsidP="00CD61AE">
            <w:pPr>
              <w:pStyle w:val="Akapitzlist"/>
              <w:numPr>
                <w:ilvl w:val="0"/>
                <w:numId w:val="19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Pr="00F06FC8" w:rsidRDefault="0028283F" w:rsidP="0028283F">
            <w:pPr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283F" w:rsidRDefault="0028283F" w:rsidP="0028283F">
            <w:pPr>
              <w:jc w:val="center"/>
            </w:pPr>
            <w:r w:rsidRPr="00760B2A">
              <w:rPr>
                <w:rFonts w:eastAsia="Cambria" w:cs="Cambria"/>
                <w:bCs/>
                <w:color w:val="000000"/>
                <w:kern w:val="1"/>
                <w:sz w:val="20"/>
                <w:u w:color="000000"/>
                <w:lang w:val="en-US" w:eastAsia="en-US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283F" w:rsidRDefault="0028283F" w:rsidP="0028283F"/>
        </w:tc>
      </w:tr>
    </w:tbl>
    <w:p w:rsidR="006458D9" w:rsidRDefault="006458D9" w:rsidP="006458D9">
      <w:pPr>
        <w:pStyle w:val="Normalny1"/>
        <w:widowControl w:val="0"/>
        <w:ind w:left="70" w:hanging="70"/>
        <w:rPr>
          <w:rFonts w:ascii="Times New Roman" w:eastAsia="Times New Roman" w:hAnsi="Times New Roman" w:cs="Times New Roman"/>
          <w:b w:val="0"/>
          <w:bCs w:val="0"/>
        </w:rPr>
      </w:pPr>
    </w:p>
    <w:p w:rsidR="002C75E4" w:rsidRDefault="001229C4" w:rsidP="002C75E4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</w:t>
      </w:r>
      <w:r w:rsidR="002C75E4">
        <w:rPr>
          <w:rFonts w:ascii="Tahoma" w:hAnsi="Tahoma" w:cs="Tahoma"/>
          <w:sz w:val="18"/>
          <w:szCs w:val="18"/>
        </w:rPr>
        <w:t>UWAGA:</w:t>
      </w:r>
    </w:p>
    <w:p w:rsidR="002C75E4" w:rsidRDefault="002C75E4" w:rsidP="002C75E4">
      <w:pPr>
        <w:pStyle w:val="Standard"/>
        <w:widowControl/>
        <w:numPr>
          <w:ilvl w:val="0"/>
          <w:numId w:val="21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C75E4" w:rsidRDefault="002C75E4" w:rsidP="002C75E4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2C75E4" w:rsidRDefault="002C75E4" w:rsidP="002C75E4">
      <w:pPr>
        <w:pStyle w:val="Standard"/>
        <w:widowControl/>
        <w:numPr>
          <w:ilvl w:val="0"/>
          <w:numId w:val="21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2C75E4" w:rsidRDefault="002C75E4" w:rsidP="002C75E4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6458D9" w:rsidRDefault="006458D9" w:rsidP="002C75E4">
      <w:pPr>
        <w:pStyle w:val="Standard"/>
        <w:rPr>
          <w:rFonts w:ascii="Times New Roman" w:eastAsia="Times New Roman" w:hAnsi="Times New Roman"/>
          <w:b/>
          <w:bCs/>
        </w:rPr>
      </w:pPr>
    </w:p>
    <w:p w:rsidR="00172A16" w:rsidRDefault="00172A16" w:rsidP="00B40B02">
      <w:pPr>
        <w:rPr>
          <w:rFonts w:eastAsia="Arial Unicode MS"/>
          <w:sz w:val="20"/>
          <w:u w:color="000000"/>
        </w:rPr>
      </w:pPr>
    </w:p>
    <w:p w:rsidR="00A70186" w:rsidRDefault="00A70186" w:rsidP="00B40B02">
      <w:pPr>
        <w:rPr>
          <w:sz w:val="20"/>
        </w:rPr>
      </w:pPr>
    </w:p>
    <w:p w:rsidR="0033211C" w:rsidRPr="0033211C" w:rsidRDefault="0033211C" w:rsidP="0033211C">
      <w:pPr>
        <w:ind w:left="4248"/>
        <w:rPr>
          <w:sz w:val="20"/>
        </w:rPr>
      </w:pPr>
    </w:p>
    <w:p w:rsidR="00E1240D" w:rsidRPr="00D374D1" w:rsidRDefault="006458D9" w:rsidP="00E1240D">
      <w:pPr>
        <w:widowControl w:val="0"/>
        <w:numPr>
          <w:ilvl w:val="0"/>
          <w:numId w:val="5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>STACJE DOKUJĄCE</w:t>
      </w:r>
    </w:p>
    <w:p w:rsidR="00760B2A" w:rsidRDefault="00E1240D" w:rsidP="00E1240D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284B2A" w:rsidRDefault="00A70186" w:rsidP="003818C8">
      <w:pPr>
        <w:rPr>
          <w:sz w:val="20"/>
        </w:rPr>
      </w:pPr>
      <w:r>
        <w:rPr>
          <w:sz w:val="20"/>
        </w:rPr>
        <w:t xml:space="preserve">  </w:t>
      </w:r>
    </w:p>
    <w:tbl>
      <w:tblPr>
        <w:tblW w:w="0" w:type="auto"/>
        <w:tblInd w:w="704" w:type="dxa"/>
        <w:shd w:val="clear" w:color="auto" w:fill="CED7E7"/>
        <w:tblLayout w:type="fixed"/>
        <w:tblLook w:val="0000" w:firstRow="0" w:lastRow="0" w:firstColumn="0" w:lastColumn="0" w:noHBand="0" w:noVBand="0"/>
      </w:tblPr>
      <w:tblGrid>
        <w:gridCol w:w="709"/>
        <w:gridCol w:w="7087"/>
        <w:gridCol w:w="2694"/>
        <w:gridCol w:w="3969"/>
      </w:tblGrid>
      <w:tr w:rsidR="002C75E4" w:rsidTr="00501B80">
        <w:trPr>
          <w:cantSplit/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5E4" w:rsidRDefault="002C75E4" w:rsidP="002C75E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5E4" w:rsidRDefault="002C75E4" w:rsidP="002C75E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Parametr</w:t>
            </w:r>
          </w:p>
          <w:p w:rsidR="002C75E4" w:rsidRDefault="002C75E4" w:rsidP="002C75E4">
            <w:pPr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5E4" w:rsidRDefault="002C75E4" w:rsidP="002C75E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wymagana/oceniana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5E4" w:rsidRDefault="002C75E4" w:rsidP="002C75E4">
            <w:pPr>
              <w:jc w:val="center"/>
            </w:pPr>
            <w:r>
              <w:rPr>
                <w:b/>
                <w:sz w:val="20"/>
              </w:rPr>
              <w:t>Wartość oferowana</w:t>
            </w:r>
          </w:p>
        </w:tc>
      </w:tr>
      <w:tr w:rsidR="00576FC7" w:rsidTr="00501B80">
        <w:trPr>
          <w:cantSplit/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Pr="00FF7AA4" w:rsidRDefault="00576FC7" w:rsidP="00FF7AA4">
            <w:pPr>
              <w:pStyle w:val="Akapitzlist"/>
              <w:numPr>
                <w:ilvl w:val="0"/>
                <w:numId w:val="20"/>
              </w:numPr>
              <w:overflowPunct/>
              <w:autoSpaceDE/>
              <w:autoSpaceDN/>
              <w:adjustRightInd/>
              <w:textAlignment w:val="auto"/>
              <w:rPr>
                <w:rFonts w:eastAsia="Cambria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FC7" w:rsidRDefault="00576FC7" w:rsidP="00576FC7">
            <w:pPr>
              <w:rPr>
                <w:sz w:val="20"/>
              </w:rPr>
            </w:pPr>
            <w:r w:rsidRPr="00C14D57">
              <w:rPr>
                <w:sz w:val="20"/>
              </w:rPr>
              <w:t xml:space="preserve">Urządzenie fabrycznie nowe, </w:t>
            </w:r>
            <w:proofErr w:type="spellStart"/>
            <w:r w:rsidRPr="00C14D57">
              <w:rPr>
                <w:sz w:val="20"/>
              </w:rPr>
              <w:t>nierekondycjonowane</w:t>
            </w:r>
            <w:proofErr w:type="spellEnd"/>
            <w:r w:rsidRPr="00C14D57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FC7" w:rsidRDefault="00576FC7" w:rsidP="00576F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FC7" w:rsidRDefault="00576FC7" w:rsidP="00576FC7">
            <w:pPr>
              <w:snapToGrid w:val="0"/>
              <w:rPr>
                <w:sz w:val="20"/>
              </w:rPr>
            </w:pPr>
          </w:p>
        </w:tc>
      </w:tr>
      <w:tr w:rsidR="00284B2A" w:rsidTr="001462C7">
        <w:trPr>
          <w:cantSplit/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FF7AA4" w:rsidRDefault="00284B2A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Możliwość mocowania  do </w:t>
            </w:r>
            <w:r>
              <w:rPr>
                <w:rFonts w:ascii="Times New Roman" w:hAnsi="Times New Roman"/>
                <w:b w:val="0"/>
                <w:bCs w:val="0"/>
                <w:sz w:val="20"/>
                <w:szCs w:val="20"/>
                <w:u w:color="FF0000"/>
              </w:rPr>
              <w:t>6</w:t>
            </w: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pomp infuzyjnych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suppressAutoHyphens/>
              <w:jc w:val="center"/>
            </w:pPr>
            <w:r>
              <w:rPr>
                <w:rFonts w:eastAsia="Cambria" w:cs="Cambria"/>
                <w:b/>
                <w:bCs/>
                <w:color w:val="000000"/>
                <w:kern w:val="1"/>
                <w:sz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/>
        </w:tc>
      </w:tr>
      <w:tr w:rsidR="00284B2A" w:rsidTr="001462C7">
        <w:trPr>
          <w:cantSplit/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FF7AA4" w:rsidRDefault="00284B2A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0B5EB9" w:rsidRDefault="00284B2A" w:rsidP="004B7C9F">
            <w:pPr>
              <w:suppressAutoHyphens/>
            </w:pPr>
            <w:r w:rsidRPr="000B5EB9">
              <w:rPr>
                <w:rFonts w:eastAsia="Cambria" w:cs="Cambria"/>
                <w:color w:val="000000"/>
                <w:kern w:val="1"/>
                <w:sz w:val="20"/>
                <w:u w:color="000000"/>
              </w:rPr>
              <w:t>Obudowa stacji wykonana z tworzywa typu ABS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suppressAutoHyphens/>
              <w:jc w:val="center"/>
            </w:pPr>
            <w:r>
              <w:rPr>
                <w:rFonts w:eastAsia="Cambria" w:cs="Cambria"/>
                <w:b/>
                <w:bCs/>
                <w:color w:val="000000"/>
                <w:kern w:val="1"/>
                <w:sz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/>
        </w:tc>
      </w:tr>
      <w:tr w:rsidR="00284B2A" w:rsidTr="001462C7">
        <w:trPr>
          <w:cantSplit/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FF7AA4" w:rsidRDefault="00284B2A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pStyle w:val="Normalny1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Waga stacji do </w:t>
            </w:r>
            <w:r>
              <w:rPr>
                <w:rFonts w:ascii="Times New Roman" w:hAnsi="Times New Roman"/>
                <w:b w:val="0"/>
                <w:bCs w:val="0"/>
                <w:sz w:val="20"/>
                <w:szCs w:val="20"/>
                <w:u w:color="FF0000"/>
              </w:rPr>
              <w:t>4,2</w:t>
            </w: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kg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suppressAutoHyphens/>
              <w:jc w:val="center"/>
            </w:pPr>
            <w:r>
              <w:rPr>
                <w:rFonts w:eastAsia="Cambria" w:cs="Cambria"/>
                <w:b/>
                <w:bCs/>
                <w:color w:val="000000"/>
                <w:kern w:val="1"/>
                <w:sz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/>
        </w:tc>
      </w:tr>
      <w:tr w:rsidR="00284B2A" w:rsidTr="001462C7">
        <w:trPr>
          <w:cantSplit/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FF7AA4" w:rsidRDefault="00284B2A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0B5EB9" w:rsidRDefault="00284B2A" w:rsidP="004B7C9F">
            <w:pPr>
              <w:suppressAutoHyphens/>
            </w:pPr>
            <w:r w:rsidRPr="000B5EB9">
              <w:rPr>
                <w:rFonts w:eastAsia="Cambria" w:cs="Cambria"/>
                <w:color w:val="000000"/>
                <w:kern w:val="1"/>
                <w:sz w:val="20"/>
                <w:u w:color="000000"/>
              </w:rPr>
              <w:t>Mocowanie stacji do pionowych rur, kolumn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suppressAutoHyphens/>
              <w:jc w:val="center"/>
            </w:pPr>
            <w:r>
              <w:rPr>
                <w:rFonts w:eastAsia="Cambria" w:cs="Cambria"/>
                <w:b/>
                <w:bCs/>
                <w:color w:val="000000"/>
                <w:kern w:val="1"/>
                <w:sz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/>
        </w:tc>
      </w:tr>
      <w:tr w:rsidR="00284B2A" w:rsidTr="001462C7">
        <w:trPr>
          <w:cantSplit/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FF7AA4" w:rsidRDefault="00284B2A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suppressAutoHyphens/>
            </w:pPr>
            <w:r>
              <w:rPr>
                <w:rFonts w:eastAsia="Cambria" w:cs="Cambria"/>
                <w:color w:val="000000"/>
                <w:kern w:val="1"/>
                <w:sz w:val="20"/>
                <w:u w:color="000000"/>
              </w:rPr>
              <w:t>Zasilanie 230 V AC 50Hz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suppressAutoHyphens/>
              <w:jc w:val="center"/>
            </w:pPr>
            <w:r>
              <w:rPr>
                <w:rFonts w:eastAsia="Cambria" w:cs="Cambria"/>
                <w:b/>
                <w:bCs/>
                <w:color w:val="000000"/>
                <w:kern w:val="1"/>
                <w:sz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/>
        </w:tc>
      </w:tr>
      <w:tr w:rsidR="00284B2A" w:rsidTr="001462C7">
        <w:trPr>
          <w:cantSplit/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FF7AA4" w:rsidRDefault="00284B2A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0B5EB9" w:rsidRDefault="00284B2A" w:rsidP="004B7C9F">
            <w:pPr>
              <w:suppressAutoHyphens/>
            </w:pPr>
            <w:r w:rsidRPr="000B5EB9">
              <w:rPr>
                <w:rFonts w:eastAsia="Cambria" w:cs="Cambria"/>
                <w:color w:val="000000"/>
                <w:kern w:val="1"/>
                <w:sz w:val="20"/>
                <w:u w:color="000000"/>
              </w:rPr>
              <w:t>System szybkiego mocowania pomp w stacji dokującej – bez konieczności demontażu elementów pompy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suppressAutoHyphens/>
              <w:jc w:val="center"/>
            </w:pPr>
            <w:r>
              <w:rPr>
                <w:rFonts w:eastAsia="Cambria" w:cs="Cambria"/>
                <w:b/>
                <w:bCs/>
                <w:color w:val="000000"/>
                <w:kern w:val="1"/>
                <w:sz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/>
        </w:tc>
      </w:tr>
      <w:tr w:rsidR="00284B2A" w:rsidTr="001462C7">
        <w:trPr>
          <w:cantSplit/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FF7AA4" w:rsidRDefault="00284B2A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0B5EB9" w:rsidRDefault="00284B2A" w:rsidP="004B7C9F">
            <w:pPr>
              <w:suppressAutoHyphens/>
            </w:pPr>
            <w:r w:rsidRPr="000B5EB9">
              <w:rPr>
                <w:rFonts w:eastAsia="Cambria" w:cs="Cambria"/>
                <w:color w:val="000000"/>
                <w:kern w:val="1"/>
                <w:sz w:val="20"/>
                <w:u w:color="000000"/>
              </w:rPr>
              <w:t>Możliwość szybkiego wyjęcia ze stacji każdej (dowolnej) pompy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suppressAutoHyphens/>
              <w:jc w:val="center"/>
            </w:pPr>
            <w:r>
              <w:rPr>
                <w:rFonts w:eastAsia="Cambria" w:cs="Cambria"/>
                <w:b/>
                <w:bCs/>
                <w:color w:val="000000"/>
                <w:kern w:val="1"/>
                <w:sz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/>
        </w:tc>
      </w:tr>
      <w:tr w:rsidR="00284B2A" w:rsidTr="001462C7">
        <w:trPr>
          <w:cantSplit/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FF7AA4" w:rsidRDefault="00284B2A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0B5EB9" w:rsidRDefault="00284B2A" w:rsidP="004B7C9F">
            <w:pPr>
              <w:suppressAutoHyphens/>
            </w:pPr>
            <w:r w:rsidRPr="000B5EB9">
              <w:rPr>
                <w:rFonts w:eastAsia="Cambria" w:cs="Cambria"/>
                <w:color w:val="000000"/>
                <w:kern w:val="1"/>
                <w:sz w:val="20"/>
                <w:u w:color="000000"/>
              </w:rPr>
              <w:t>Zasilanie pomp ze stacji dokującej – automatyczne przyłączenie zasilania po włożeniu pompy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suppressAutoHyphens/>
              <w:jc w:val="center"/>
            </w:pPr>
            <w:r>
              <w:rPr>
                <w:rFonts w:eastAsia="Cambria" w:cs="Cambria"/>
                <w:b/>
                <w:bCs/>
                <w:color w:val="000000"/>
                <w:kern w:val="1"/>
                <w:sz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/>
        </w:tc>
      </w:tr>
      <w:tr w:rsidR="00284B2A" w:rsidTr="001462C7">
        <w:trPr>
          <w:cantSplit/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FF7AA4" w:rsidRDefault="00284B2A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0B5EB9" w:rsidRDefault="00284B2A" w:rsidP="004B7C9F">
            <w:pPr>
              <w:suppressAutoHyphens/>
            </w:pPr>
            <w:r w:rsidRPr="000B5EB9">
              <w:rPr>
                <w:rFonts w:eastAsia="Cambria" w:cs="Cambria"/>
                <w:color w:val="000000"/>
                <w:kern w:val="1"/>
                <w:sz w:val="20"/>
                <w:u w:color="000000"/>
              </w:rPr>
              <w:t>Stacja wyposażona w sygnalizację świetlną, alarmową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suppressAutoHyphens/>
              <w:jc w:val="center"/>
            </w:pPr>
            <w:r>
              <w:rPr>
                <w:rFonts w:eastAsia="Cambria" w:cs="Cambria"/>
                <w:b/>
                <w:bCs/>
                <w:color w:val="000000"/>
                <w:kern w:val="1"/>
                <w:sz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/>
        </w:tc>
      </w:tr>
      <w:tr w:rsidR="00284B2A" w:rsidTr="001462C7">
        <w:trPr>
          <w:cantSplit/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FF7AA4" w:rsidRDefault="00284B2A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0B5EB9" w:rsidRDefault="00284B2A" w:rsidP="004B7C9F">
            <w:pPr>
              <w:suppressAutoHyphens/>
            </w:pPr>
            <w:r w:rsidRPr="000B5EB9">
              <w:rPr>
                <w:rFonts w:eastAsia="Cambria" w:cs="Cambria"/>
                <w:color w:val="000000"/>
                <w:kern w:val="1"/>
                <w:sz w:val="20"/>
                <w:u w:color="000000"/>
              </w:rPr>
              <w:t>Stacja posiadająca uchwyt do swobodnego przenoszenia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suppressAutoHyphens/>
              <w:jc w:val="center"/>
            </w:pPr>
            <w:r>
              <w:rPr>
                <w:rFonts w:eastAsia="Cambria" w:cs="Cambria"/>
                <w:b/>
                <w:bCs/>
                <w:color w:val="000000"/>
                <w:kern w:val="1"/>
                <w:sz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/>
        </w:tc>
      </w:tr>
      <w:tr w:rsidR="00284B2A" w:rsidTr="001462C7">
        <w:trPr>
          <w:cantSplit/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FF7AA4" w:rsidRDefault="00284B2A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Pr="000B5EB9" w:rsidRDefault="00284B2A" w:rsidP="004B7C9F">
            <w:pPr>
              <w:suppressAutoHyphens/>
            </w:pPr>
            <w:r w:rsidRPr="000B5EB9">
              <w:rPr>
                <w:rFonts w:eastAsia="Cambria" w:cs="Cambria"/>
                <w:color w:val="000000"/>
                <w:kern w:val="1"/>
                <w:sz w:val="20"/>
                <w:u w:color="000000"/>
              </w:rPr>
              <w:t>Stacja wraz z wysięgnikiem do zawieszania pojemników z  płynami infuzyjnymi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>
            <w:pPr>
              <w:suppressAutoHyphens/>
              <w:jc w:val="center"/>
            </w:pPr>
            <w:r>
              <w:rPr>
                <w:rFonts w:eastAsia="Cambria" w:cs="Cambria"/>
                <w:b/>
                <w:bCs/>
                <w:color w:val="000000"/>
                <w:kern w:val="1"/>
                <w:sz w:val="20"/>
                <w:u w:color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4B2A" w:rsidRDefault="00284B2A" w:rsidP="004B7C9F"/>
        </w:tc>
      </w:tr>
      <w:tr w:rsidR="00576FC7" w:rsidTr="00651802">
        <w:trPr>
          <w:cantSplit/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Pr="00FF7AA4" w:rsidRDefault="00576FC7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Pr="00F06FC8" w:rsidRDefault="00576FC7" w:rsidP="00576FC7">
            <w:pPr>
              <w:rPr>
                <w:color w:val="000000"/>
                <w:sz w:val="20"/>
              </w:rPr>
            </w:pPr>
            <w:r w:rsidRPr="007C49F3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Pr="00C83A07" w:rsidRDefault="00576FC7" w:rsidP="00576FC7">
            <w:pPr>
              <w:jc w:val="center"/>
              <w:rPr>
                <w:b/>
                <w:sz w:val="20"/>
              </w:rPr>
            </w:pPr>
            <w:r w:rsidRPr="00C83A07">
              <w:rPr>
                <w:b/>
                <w:sz w:val="20"/>
              </w:rPr>
              <w:t>24 miesiące-    0 pkt</w:t>
            </w:r>
          </w:p>
          <w:p w:rsidR="00576FC7" w:rsidRPr="007C49F3" w:rsidRDefault="00576FC7" w:rsidP="00576FC7">
            <w:pPr>
              <w:jc w:val="center"/>
              <w:rPr>
                <w:b/>
                <w:sz w:val="20"/>
              </w:rPr>
            </w:pPr>
            <w:r w:rsidRPr="00C83A07">
              <w:rPr>
                <w:b/>
                <w:sz w:val="20"/>
              </w:rPr>
              <w:t>36 miesięcy – 20 pkt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Default="00576FC7" w:rsidP="00576FC7"/>
        </w:tc>
      </w:tr>
      <w:tr w:rsidR="00576FC7" w:rsidTr="00576FC7">
        <w:trPr>
          <w:cantSplit/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Pr="00FF7AA4" w:rsidRDefault="00576FC7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FC7" w:rsidRPr="004B3812" w:rsidRDefault="00576FC7" w:rsidP="00576FC7">
            <w:pPr>
              <w:rPr>
                <w:sz w:val="20"/>
              </w:rPr>
            </w:pPr>
            <w:r w:rsidRPr="004B3812">
              <w:rPr>
                <w:sz w:val="20"/>
              </w:rPr>
              <w:t>Zapewnienie części zamiennych przez okres 10 lat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FC7" w:rsidRDefault="00576FC7" w:rsidP="00576FC7">
            <w:pPr>
              <w:jc w:val="center"/>
            </w:pPr>
            <w:r w:rsidRPr="00760B2A">
              <w:rPr>
                <w:rFonts w:eastAsia="Cambria" w:cs="Cambria"/>
                <w:bCs/>
                <w:color w:val="000000"/>
                <w:kern w:val="1"/>
                <w:sz w:val="20"/>
                <w:u w:color="000000"/>
                <w:lang w:val="en-US" w:eastAsia="en-US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Default="00576FC7" w:rsidP="00576FC7"/>
        </w:tc>
      </w:tr>
      <w:tr w:rsidR="00576FC7" w:rsidTr="00651802">
        <w:trPr>
          <w:cantSplit/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Pr="00FF7AA4" w:rsidRDefault="00576FC7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FC7" w:rsidRPr="004B3812" w:rsidRDefault="00576FC7" w:rsidP="00576FC7">
            <w:pPr>
              <w:pStyle w:val="Standard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FC7" w:rsidRDefault="00576FC7" w:rsidP="00576FC7">
            <w:pPr>
              <w:jc w:val="center"/>
            </w:pPr>
            <w:r w:rsidRPr="00760B2A">
              <w:rPr>
                <w:rFonts w:eastAsia="Cambria" w:cs="Cambria"/>
                <w:bCs/>
                <w:color w:val="000000"/>
                <w:kern w:val="1"/>
                <w:sz w:val="20"/>
                <w:u w:color="000000"/>
                <w:lang w:val="en-US" w:eastAsia="en-US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Default="00576FC7" w:rsidP="00576FC7"/>
        </w:tc>
      </w:tr>
      <w:tr w:rsidR="00576FC7" w:rsidTr="00651802">
        <w:trPr>
          <w:cantSplit/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Pr="00FF7AA4" w:rsidRDefault="00576FC7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FC7" w:rsidRPr="0018731B" w:rsidRDefault="00576FC7" w:rsidP="00576FC7">
            <w:pPr>
              <w:rPr>
                <w:sz w:val="20"/>
              </w:rPr>
            </w:pPr>
            <w:r w:rsidRPr="0018731B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FC7" w:rsidRDefault="00576FC7" w:rsidP="00576FC7">
            <w:pPr>
              <w:jc w:val="center"/>
            </w:pPr>
            <w:r w:rsidRPr="00760B2A">
              <w:rPr>
                <w:rFonts w:eastAsia="Cambria" w:cs="Cambria"/>
                <w:bCs/>
                <w:color w:val="000000"/>
                <w:kern w:val="1"/>
                <w:sz w:val="20"/>
                <w:u w:color="000000"/>
                <w:lang w:val="en-US" w:eastAsia="en-US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Default="00576FC7" w:rsidP="00576FC7"/>
        </w:tc>
      </w:tr>
      <w:tr w:rsidR="00576FC7" w:rsidTr="00651802">
        <w:trPr>
          <w:cantSplit/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Pr="00FF7AA4" w:rsidRDefault="00576FC7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FC7" w:rsidRPr="000B5D61" w:rsidRDefault="00576FC7" w:rsidP="00576FC7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0B5D6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064616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(jeżeli dotyczy)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FC7" w:rsidRDefault="00576FC7" w:rsidP="00576FC7">
            <w:pPr>
              <w:jc w:val="center"/>
            </w:pPr>
            <w:r w:rsidRPr="00760B2A">
              <w:rPr>
                <w:rFonts w:eastAsia="Cambria" w:cs="Cambria"/>
                <w:bCs/>
                <w:color w:val="000000"/>
                <w:kern w:val="1"/>
                <w:sz w:val="20"/>
                <w:u w:color="000000"/>
                <w:lang w:val="en-US" w:eastAsia="en-US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Default="00576FC7" w:rsidP="00576FC7"/>
        </w:tc>
      </w:tr>
      <w:tr w:rsidR="00576FC7" w:rsidTr="00217201">
        <w:trPr>
          <w:cantSplit/>
          <w:trHeight w:val="5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Pr="00FF7AA4" w:rsidRDefault="00576FC7" w:rsidP="00FF7AA4">
            <w:pPr>
              <w:pStyle w:val="Akapitzlist"/>
              <w:numPr>
                <w:ilvl w:val="0"/>
                <w:numId w:val="20"/>
              </w:num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Pr="00F06FC8" w:rsidRDefault="00576FC7" w:rsidP="00576FC7">
            <w:pPr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6FC7" w:rsidRDefault="00576FC7" w:rsidP="00576FC7">
            <w:pPr>
              <w:jc w:val="center"/>
            </w:pPr>
            <w:r w:rsidRPr="00760B2A">
              <w:rPr>
                <w:rFonts w:eastAsia="Cambria" w:cs="Cambria"/>
                <w:bCs/>
                <w:color w:val="000000"/>
                <w:kern w:val="1"/>
                <w:sz w:val="20"/>
                <w:u w:color="000000"/>
                <w:lang w:val="en-US" w:eastAsia="en-US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FC7" w:rsidRDefault="00576FC7" w:rsidP="00576FC7"/>
        </w:tc>
      </w:tr>
    </w:tbl>
    <w:p w:rsidR="006409B7" w:rsidRDefault="006409B7" w:rsidP="003818C8">
      <w:pPr>
        <w:rPr>
          <w:sz w:val="20"/>
        </w:rPr>
      </w:pPr>
    </w:p>
    <w:p w:rsidR="002C75E4" w:rsidRDefault="00800E8B" w:rsidP="002C75E4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2C75E4">
        <w:rPr>
          <w:rFonts w:ascii="Tahoma" w:hAnsi="Tahoma" w:cs="Tahoma"/>
          <w:sz w:val="18"/>
          <w:szCs w:val="18"/>
        </w:rPr>
        <w:t>UWAGA:</w:t>
      </w:r>
    </w:p>
    <w:p w:rsidR="002C75E4" w:rsidRDefault="002C75E4" w:rsidP="002C75E4">
      <w:pPr>
        <w:pStyle w:val="Standard"/>
        <w:widowControl/>
        <w:numPr>
          <w:ilvl w:val="0"/>
          <w:numId w:val="21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C75E4" w:rsidRDefault="002C75E4" w:rsidP="002C75E4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2C75E4" w:rsidRDefault="002C75E4" w:rsidP="002C75E4">
      <w:pPr>
        <w:pStyle w:val="Standard"/>
        <w:widowControl/>
        <w:numPr>
          <w:ilvl w:val="0"/>
          <w:numId w:val="21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800E8B" w:rsidRDefault="002C75E4" w:rsidP="002C75E4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090722" w:rsidRDefault="00090722" w:rsidP="00800E8B">
      <w:pPr>
        <w:pStyle w:val="Standard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800E8B" w:rsidRDefault="00090722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</w:t>
      </w:r>
      <w:r w:rsidR="00800E8B">
        <w:rPr>
          <w:rFonts w:ascii="Tahoma" w:hAnsi="Tahoma" w:cs="Tahoma"/>
          <w:sz w:val="18"/>
          <w:szCs w:val="18"/>
        </w:rPr>
        <w:t xml:space="preserve">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010AE1" w:rsidRPr="003818C8" w:rsidRDefault="00800E8B" w:rsidP="003818C8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</w:t>
      </w:r>
      <w:r w:rsidR="003818C8">
        <w:rPr>
          <w:rFonts w:ascii="Tahoma" w:hAnsi="Tahoma" w:cs="Tahoma"/>
          <w:sz w:val="18"/>
          <w:szCs w:val="18"/>
        </w:rPr>
        <w:t xml:space="preserve">                               </w:t>
      </w: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sectPr w:rsidR="00010AE1" w:rsidRPr="003818C8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9E1" w:rsidRDefault="009809E1" w:rsidP="00480196">
      <w:r>
        <w:separator/>
      </w:r>
    </w:p>
  </w:endnote>
  <w:endnote w:type="continuationSeparator" w:id="0">
    <w:p w:rsidR="009809E1" w:rsidRDefault="009809E1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3363456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FE3FC1" w:rsidRPr="00FE3FC1" w:rsidRDefault="00FE3FC1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FE3FC1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FE3FC1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FE3FC1">
          <w:rPr>
            <w:sz w:val="16"/>
            <w:szCs w:val="16"/>
          </w:rPr>
          <w:instrText>PAGE    \* MERGEFORMAT</w:instrText>
        </w:r>
        <w:r w:rsidRPr="00FE3FC1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090722" w:rsidRPr="00090722">
          <w:rPr>
            <w:rFonts w:asciiTheme="majorHAnsi" w:eastAsiaTheme="majorEastAsia" w:hAnsiTheme="majorHAnsi" w:cstheme="majorBidi"/>
            <w:noProof/>
            <w:sz w:val="16"/>
            <w:szCs w:val="16"/>
          </w:rPr>
          <w:t>7</w:t>
        </w:r>
        <w:r w:rsidRPr="00FE3FC1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FE3FC1" w:rsidRDefault="00FE3F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9E1" w:rsidRDefault="009809E1" w:rsidP="00480196">
      <w:r>
        <w:separator/>
      </w:r>
    </w:p>
  </w:footnote>
  <w:footnote w:type="continuationSeparator" w:id="0">
    <w:p w:rsidR="009809E1" w:rsidRDefault="009809E1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88" w:rsidRDefault="00480196">
    <w:pPr>
      <w:pStyle w:val="Nagwek"/>
    </w:pPr>
    <w:r w:rsidRPr="00B1583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738505</wp:posOffset>
          </wp:positionH>
          <wp:positionV relativeFrom="paragraph">
            <wp:posOffset>0</wp:posOffset>
          </wp:positionV>
          <wp:extent cx="8290560" cy="426720"/>
          <wp:effectExtent l="0" t="0" r="0" b="0"/>
          <wp:wrapTopAndBottom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05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894EE873"/>
    <w:lvl w:ilvl="0" w:tplc="FFFFFFFF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bullet"/>
      <w:lvlText w:val="▪"/>
      <w:lvlJc w:val="left"/>
      <w:pPr>
        <w:tabs>
          <w:tab w:val="num" w:pos="6120"/>
        </w:tabs>
        <w:ind w:left="612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02"/>
    <w:multiLevelType w:val="hybridMultilevel"/>
    <w:tmpl w:val="894EE874"/>
    <w:lvl w:ilvl="0" w:tplc="FFFFFFFF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bullet"/>
      <w:lvlText w:val="o"/>
      <w:lvlJc w:val="left"/>
      <w:pPr>
        <w:tabs>
          <w:tab w:val="left" w:pos="360"/>
          <w:tab w:val="num" w:pos="1080"/>
        </w:tabs>
        <w:ind w:left="108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bullet"/>
      <w:lvlText w:val="▪"/>
      <w:lvlJc w:val="left"/>
      <w:pPr>
        <w:tabs>
          <w:tab w:val="left" w:pos="360"/>
          <w:tab w:val="num" w:pos="1800"/>
        </w:tabs>
        <w:ind w:left="18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bullet"/>
      <w:lvlText w:val="·"/>
      <w:lvlJc w:val="left"/>
      <w:pPr>
        <w:tabs>
          <w:tab w:val="left" w:pos="360"/>
          <w:tab w:val="num" w:pos="2520"/>
        </w:tabs>
        <w:ind w:left="25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bullet"/>
      <w:lvlText w:val="o"/>
      <w:lvlJc w:val="left"/>
      <w:pPr>
        <w:tabs>
          <w:tab w:val="left" w:pos="360"/>
          <w:tab w:val="num" w:pos="3240"/>
        </w:tabs>
        <w:ind w:left="324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bullet"/>
      <w:lvlText w:val="▪"/>
      <w:lvlJc w:val="left"/>
      <w:pPr>
        <w:tabs>
          <w:tab w:val="left" w:pos="360"/>
          <w:tab w:val="num" w:pos="3960"/>
        </w:tabs>
        <w:ind w:left="396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bullet"/>
      <w:lvlText w:val="·"/>
      <w:lvlJc w:val="left"/>
      <w:pPr>
        <w:tabs>
          <w:tab w:val="left" w:pos="360"/>
          <w:tab w:val="num" w:pos="4680"/>
        </w:tabs>
        <w:ind w:left="468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bullet"/>
      <w:lvlText w:val="o"/>
      <w:lvlJc w:val="left"/>
      <w:pPr>
        <w:tabs>
          <w:tab w:val="left" w:pos="360"/>
          <w:tab w:val="num" w:pos="5400"/>
        </w:tabs>
        <w:ind w:left="54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bullet"/>
      <w:lvlText w:val="▪"/>
      <w:lvlJc w:val="left"/>
      <w:pPr>
        <w:tabs>
          <w:tab w:val="left" w:pos="360"/>
          <w:tab w:val="num" w:pos="6120"/>
        </w:tabs>
        <w:ind w:left="612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" w15:restartNumberingAfterBreak="0">
    <w:nsid w:val="00000003"/>
    <w:multiLevelType w:val="hybridMultilevel"/>
    <w:tmpl w:val="894EE875"/>
    <w:lvl w:ilvl="0" w:tplc="FFFFFFFF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bullet"/>
      <w:lvlText w:val="o"/>
      <w:lvlJc w:val="left"/>
      <w:pPr>
        <w:tabs>
          <w:tab w:val="left" w:pos="360"/>
          <w:tab w:val="num" w:pos="1080"/>
        </w:tabs>
        <w:ind w:left="108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bullet"/>
      <w:lvlText w:val="▪"/>
      <w:lvlJc w:val="left"/>
      <w:pPr>
        <w:tabs>
          <w:tab w:val="left" w:pos="360"/>
          <w:tab w:val="num" w:pos="1800"/>
        </w:tabs>
        <w:ind w:left="18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bullet"/>
      <w:lvlText w:val="·"/>
      <w:lvlJc w:val="left"/>
      <w:pPr>
        <w:tabs>
          <w:tab w:val="left" w:pos="360"/>
          <w:tab w:val="num" w:pos="2520"/>
        </w:tabs>
        <w:ind w:left="25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bullet"/>
      <w:lvlText w:val="o"/>
      <w:lvlJc w:val="left"/>
      <w:pPr>
        <w:tabs>
          <w:tab w:val="left" w:pos="360"/>
          <w:tab w:val="num" w:pos="3240"/>
        </w:tabs>
        <w:ind w:left="324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bullet"/>
      <w:lvlText w:val="▪"/>
      <w:lvlJc w:val="left"/>
      <w:pPr>
        <w:tabs>
          <w:tab w:val="left" w:pos="360"/>
          <w:tab w:val="num" w:pos="3960"/>
        </w:tabs>
        <w:ind w:left="396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bullet"/>
      <w:lvlText w:val="·"/>
      <w:lvlJc w:val="left"/>
      <w:pPr>
        <w:tabs>
          <w:tab w:val="left" w:pos="360"/>
          <w:tab w:val="num" w:pos="4680"/>
        </w:tabs>
        <w:ind w:left="468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bullet"/>
      <w:lvlText w:val="o"/>
      <w:lvlJc w:val="left"/>
      <w:pPr>
        <w:tabs>
          <w:tab w:val="left" w:pos="360"/>
          <w:tab w:val="num" w:pos="5400"/>
        </w:tabs>
        <w:ind w:left="54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bullet"/>
      <w:lvlText w:val="▪"/>
      <w:lvlJc w:val="left"/>
      <w:pPr>
        <w:tabs>
          <w:tab w:val="left" w:pos="360"/>
          <w:tab w:val="num" w:pos="6120"/>
        </w:tabs>
        <w:ind w:left="612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" w15:restartNumberingAfterBreak="0">
    <w:nsid w:val="00000004"/>
    <w:multiLevelType w:val="hybridMultilevel"/>
    <w:tmpl w:val="894EE876"/>
    <w:lvl w:ilvl="0" w:tplc="FFFFFFFF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bullet"/>
      <w:lvlText w:val="▪"/>
      <w:lvlJc w:val="left"/>
      <w:pPr>
        <w:tabs>
          <w:tab w:val="num" w:pos="6120"/>
        </w:tabs>
        <w:ind w:left="612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" w15:restartNumberingAfterBreak="0">
    <w:nsid w:val="00000005"/>
    <w:multiLevelType w:val="hybridMultilevel"/>
    <w:tmpl w:val="894EE877"/>
    <w:lvl w:ilvl="0" w:tplc="FFFFFFFF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bullet"/>
      <w:lvlText w:val="o"/>
      <w:lvlJc w:val="left"/>
      <w:pPr>
        <w:tabs>
          <w:tab w:val="left" w:pos="360"/>
          <w:tab w:val="num" w:pos="1080"/>
        </w:tabs>
        <w:ind w:left="108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bullet"/>
      <w:lvlText w:val="▪"/>
      <w:lvlJc w:val="left"/>
      <w:pPr>
        <w:tabs>
          <w:tab w:val="left" w:pos="360"/>
          <w:tab w:val="num" w:pos="1800"/>
        </w:tabs>
        <w:ind w:left="18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bullet"/>
      <w:lvlText w:val="·"/>
      <w:lvlJc w:val="left"/>
      <w:pPr>
        <w:tabs>
          <w:tab w:val="left" w:pos="360"/>
          <w:tab w:val="num" w:pos="2520"/>
        </w:tabs>
        <w:ind w:left="25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bullet"/>
      <w:lvlText w:val="o"/>
      <w:lvlJc w:val="left"/>
      <w:pPr>
        <w:tabs>
          <w:tab w:val="left" w:pos="360"/>
          <w:tab w:val="num" w:pos="3240"/>
        </w:tabs>
        <w:ind w:left="324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bullet"/>
      <w:lvlText w:val="▪"/>
      <w:lvlJc w:val="left"/>
      <w:pPr>
        <w:tabs>
          <w:tab w:val="left" w:pos="360"/>
          <w:tab w:val="num" w:pos="3960"/>
        </w:tabs>
        <w:ind w:left="396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bullet"/>
      <w:lvlText w:val="·"/>
      <w:lvlJc w:val="left"/>
      <w:pPr>
        <w:tabs>
          <w:tab w:val="left" w:pos="360"/>
          <w:tab w:val="num" w:pos="4680"/>
        </w:tabs>
        <w:ind w:left="468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bullet"/>
      <w:lvlText w:val="o"/>
      <w:lvlJc w:val="left"/>
      <w:pPr>
        <w:tabs>
          <w:tab w:val="left" w:pos="360"/>
          <w:tab w:val="num" w:pos="5400"/>
        </w:tabs>
        <w:ind w:left="54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bullet"/>
      <w:lvlText w:val="▪"/>
      <w:lvlJc w:val="left"/>
      <w:pPr>
        <w:tabs>
          <w:tab w:val="left" w:pos="360"/>
          <w:tab w:val="num" w:pos="6120"/>
        </w:tabs>
        <w:ind w:left="612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" w15:restartNumberingAfterBreak="0">
    <w:nsid w:val="00000006"/>
    <w:multiLevelType w:val="hybridMultilevel"/>
    <w:tmpl w:val="894EE878"/>
    <w:lvl w:ilvl="0" w:tplc="59C8B10E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52911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D36EAEE4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044512A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07DCBBD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D528E6E6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8C4A6BC6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166A491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FD2ADAC">
      <w:start w:val="1"/>
      <w:numFmt w:val="bullet"/>
      <w:lvlText w:val="▪"/>
      <w:lvlJc w:val="left"/>
      <w:pPr>
        <w:tabs>
          <w:tab w:val="num" w:pos="6120"/>
        </w:tabs>
        <w:ind w:left="612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6" w15:restartNumberingAfterBreak="0">
    <w:nsid w:val="01415776"/>
    <w:multiLevelType w:val="hybridMultilevel"/>
    <w:tmpl w:val="894EE872"/>
    <w:lvl w:ilvl="0" w:tplc="8E68A4D4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B180764">
      <w:start w:val="1"/>
      <w:numFmt w:val="bullet"/>
      <w:lvlText w:val="o"/>
      <w:lvlJc w:val="left"/>
      <w:pPr>
        <w:tabs>
          <w:tab w:val="left" w:pos="360"/>
          <w:tab w:val="num" w:pos="1080"/>
        </w:tabs>
        <w:ind w:left="108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03649260">
      <w:start w:val="1"/>
      <w:numFmt w:val="bullet"/>
      <w:lvlText w:val="▪"/>
      <w:lvlJc w:val="left"/>
      <w:pPr>
        <w:tabs>
          <w:tab w:val="left" w:pos="360"/>
          <w:tab w:val="num" w:pos="1800"/>
        </w:tabs>
        <w:ind w:left="18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A9CF948">
      <w:start w:val="1"/>
      <w:numFmt w:val="bullet"/>
      <w:lvlText w:val="·"/>
      <w:lvlJc w:val="left"/>
      <w:pPr>
        <w:tabs>
          <w:tab w:val="left" w:pos="360"/>
          <w:tab w:val="num" w:pos="2520"/>
        </w:tabs>
        <w:ind w:left="25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05888700">
      <w:start w:val="1"/>
      <w:numFmt w:val="bullet"/>
      <w:lvlText w:val="o"/>
      <w:lvlJc w:val="left"/>
      <w:pPr>
        <w:tabs>
          <w:tab w:val="left" w:pos="360"/>
          <w:tab w:val="num" w:pos="3240"/>
        </w:tabs>
        <w:ind w:left="324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7876CE1C">
      <w:start w:val="1"/>
      <w:numFmt w:val="bullet"/>
      <w:lvlText w:val="▪"/>
      <w:lvlJc w:val="left"/>
      <w:pPr>
        <w:tabs>
          <w:tab w:val="left" w:pos="360"/>
          <w:tab w:val="num" w:pos="3960"/>
        </w:tabs>
        <w:ind w:left="396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A5CE3D48">
      <w:start w:val="1"/>
      <w:numFmt w:val="bullet"/>
      <w:lvlText w:val="·"/>
      <w:lvlJc w:val="left"/>
      <w:pPr>
        <w:tabs>
          <w:tab w:val="left" w:pos="360"/>
          <w:tab w:val="num" w:pos="4680"/>
        </w:tabs>
        <w:ind w:left="468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8774E9AA">
      <w:start w:val="1"/>
      <w:numFmt w:val="bullet"/>
      <w:lvlText w:val="o"/>
      <w:lvlJc w:val="left"/>
      <w:pPr>
        <w:tabs>
          <w:tab w:val="left" w:pos="360"/>
          <w:tab w:val="num" w:pos="5400"/>
        </w:tabs>
        <w:ind w:left="54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B126AB0A">
      <w:start w:val="1"/>
      <w:numFmt w:val="bullet"/>
      <w:lvlText w:val="▪"/>
      <w:lvlJc w:val="left"/>
      <w:pPr>
        <w:tabs>
          <w:tab w:val="left" w:pos="360"/>
          <w:tab w:val="num" w:pos="6120"/>
        </w:tabs>
        <w:ind w:left="612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7" w15:restartNumberingAfterBreak="0">
    <w:nsid w:val="10DE5061"/>
    <w:multiLevelType w:val="hybridMultilevel"/>
    <w:tmpl w:val="A2AC1070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9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0" w15:restartNumberingAfterBreak="0">
    <w:nsid w:val="29FA21A4"/>
    <w:multiLevelType w:val="hybridMultilevel"/>
    <w:tmpl w:val="6BB8F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2" w15:restartNumberingAfterBreak="0">
    <w:nsid w:val="50080E98"/>
    <w:multiLevelType w:val="hybridMultilevel"/>
    <w:tmpl w:val="894EE872"/>
    <w:lvl w:ilvl="0" w:tplc="FFFFFFFF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bullet"/>
      <w:lvlText w:val="o"/>
      <w:lvlJc w:val="left"/>
      <w:pPr>
        <w:tabs>
          <w:tab w:val="left" w:pos="360"/>
          <w:tab w:val="num" w:pos="1080"/>
        </w:tabs>
        <w:ind w:left="108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bullet"/>
      <w:lvlText w:val="▪"/>
      <w:lvlJc w:val="left"/>
      <w:pPr>
        <w:tabs>
          <w:tab w:val="left" w:pos="360"/>
          <w:tab w:val="num" w:pos="1800"/>
        </w:tabs>
        <w:ind w:left="18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bullet"/>
      <w:lvlText w:val="·"/>
      <w:lvlJc w:val="left"/>
      <w:pPr>
        <w:tabs>
          <w:tab w:val="left" w:pos="360"/>
          <w:tab w:val="num" w:pos="2520"/>
        </w:tabs>
        <w:ind w:left="25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bullet"/>
      <w:lvlText w:val="o"/>
      <w:lvlJc w:val="left"/>
      <w:pPr>
        <w:tabs>
          <w:tab w:val="left" w:pos="360"/>
          <w:tab w:val="num" w:pos="3240"/>
        </w:tabs>
        <w:ind w:left="324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bullet"/>
      <w:lvlText w:val="▪"/>
      <w:lvlJc w:val="left"/>
      <w:pPr>
        <w:tabs>
          <w:tab w:val="left" w:pos="360"/>
          <w:tab w:val="num" w:pos="3960"/>
        </w:tabs>
        <w:ind w:left="396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bullet"/>
      <w:lvlText w:val="·"/>
      <w:lvlJc w:val="left"/>
      <w:pPr>
        <w:tabs>
          <w:tab w:val="left" w:pos="360"/>
          <w:tab w:val="num" w:pos="4680"/>
        </w:tabs>
        <w:ind w:left="468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bullet"/>
      <w:lvlText w:val="o"/>
      <w:lvlJc w:val="left"/>
      <w:pPr>
        <w:tabs>
          <w:tab w:val="left" w:pos="360"/>
          <w:tab w:val="num" w:pos="5400"/>
        </w:tabs>
        <w:ind w:left="54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bullet"/>
      <w:lvlText w:val="▪"/>
      <w:lvlJc w:val="left"/>
      <w:pPr>
        <w:tabs>
          <w:tab w:val="left" w:pos="360"/>
          <w:tab w:val="num" w:pos="6120"/>
        </w:tabs>
        <w:ind w:left="612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3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5A01731"/>
    <w:multiLevelType w:val="hybridMultilevel"/>
    <w:tmpl w:val="732E4572"/>
    <w:lvl w:ilvl="0" w:tplc="A8A65DD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9479D"/>
    <w:multiLevelType w:val="hybridMultilevel"/>
    <w:tmpl w:val="26F4AABA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B1125"/>
    <w:multiLevelType w:val="hybridMultilevel"/>
    <w:tmpl w:val="CD60729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8" w15:restartNumberingAfterBreak="0">
    <w:nsid w:val="7EE84B67"/>
    <w:multiLevelType w:val="hybridMultilevel"/>
    <w:tmpl w:val="894EE872"/>
    <w:lvl w:ilvl="0" w:tplc="FFFFFFFF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bullet"/>
      <w:lvlText w:val="o"/>
      <w:lvlJc w:val="left"/>
      <w:pPr>
        <w:tabs>
          <w:tab w:val="left" w:pos="360"/>
          <w:tab w:val="num" w:pos="1080"/>
        </w:tabs>
        <w:ind w:left="108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bullet"/>
      <w:lvlText w:val="▪"/>
      <w:lvlJc w:val="left"/>
      <w:pPr>
        <w:tabs>
          <w:tab w:val="left" w:pos="360"/>
          <w:tab w:val="num" w:pos="1800"/>
        </w:tabs>
        <w:ind w:left="18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bullet"/>
      <w:lvlText w:val="·"/>
      <w:lvlJc w:val="left"/>
      <w:pPr>
        <w:tabs>
          <w:tab w:val="left" w:pos="360"/>
          <w:tab w:val="num" w:pos="2520"/>
        </w:tabs>
        <w:ind w:left="25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bullet"/>
      <w:lvlText w:val="o"/>
      <w:lvlJc w:val="left"/>
      <w:pPr>
        <w:tabs>
          <w:tab w:val="left" w:pos="360"/>
          <w:tab w:val="num" w:pos="3240"/>
        </w:tabs>
        <w:ind w:left="324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bullet"/>
      <w:lvlText w:val="▪"/>
      <w:lvlJc w:val="left"/>
      <w:pPr>
        <w:tabs>
          <w:tab w:val="left" w:pos="360"/>
          <w:tab w:val="num" w:pos="3960"/>
        </w:tabs>
        <w:ind w:left="396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bullet"/>
      <w:lvlText w:val="·"/>
      <w:lvlJc w:val="left"/>
      <w:pPr>
        <w:tabs>
          <w:tab w:val="left" w:pos="360"/>
          <w:tab w:val="num" w:pos="4680"/>
        </w:tabs>
        <w:ind w:left="468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bullet"/>
      <w:lvlText w:val="o"/>
      <w:lvlJc w:val="left"/>
      <w:pPr>
        <w:tabs>
          <w:tab w:val="left" w:pos="360"/>
          <w:tab w:val="num" w:pos="5400"/>
        </w:tabs>
        <w:ind w:left="540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bullet"/>
      <w:lvlText w:val="▪"/>
      <w:lvlJc w:val="left"/>
      <w:pPr>
        <w:tabs>
          <w:tab w:val="left" w:pos="360"/>
          <w:tab w:val="num" w:pos="6120"/>
        </w:tabs>
        <w:ind w:left="6120" w:hanging="36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8"/>
  </w:num>
  <w:num w:numId="5">
    <w:abstractNumId w:val="8"/>
  </w:num>
  <w:num w:numId="6">
    <w:abstractNumId w:val="17"/>
  </w:num>
  <w:num w:numId="7">
    <w:abstractNumId w:val="12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6"/>
  </w:num>
  <w:num w:numId="14">
    <w:abstractNumId w:val="18"/>
  </w:num>
  <w:num w:numId="15">
    <w:abstractNumId w:val="7"/>
  </w:num>
  <w:num w:numId="16">
    <w:abstractNumId w:val="15"/>
  </w:num>
  <w:num w:numId="17">
    <w:abstractNumId w:val="6"/>
  </w:num>
  <w:num w:numId="18">
    <w:abstractNumId w:val="5"/>
  </w:num>
  <w:num w:numId="19">
    <w:abstractNumId w:val="14"/>
  </w:num>
  <w:num w:numId="20">
    <w:abstractNumId w:val="1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10AE1"/>
    <w:rsid w:val="0001509E"/>
    <w:rsid w:val="00022022"/>
    <w:rsid w:val="00044C0B"/>
    <w:rsid w:val="000550E8"/>
    <w:rsid w:val="00064616"/>
    <w:rsid w:val="00090722"/>
    <w:rsid w:val="000B5D61"/>
    <w:rsid w:val="001229C4"/>
    <w:rsid w:val="00125011"/>
    <w:rsid w:val="001462C7"/>
    <w:rsid w:val="00172A16"/>
    <w:rsid w:val="0018731B"/>
    <w:rsid w:val="001B637F"/>
    <w:rsid w:val="001C044D"/>
    <w:rsid w:val="001D5C81"/>
    <w:rsid w:val="00217201"/>
    <w:rsid w:val="00224C88"/>
    <w:rsid w:val="0028283F"/>
    <w:rsid w:val="00284B2A"/>
    <w:rsid w:val="00292680"/>
    <w:rsid w:val="002A2668"/>
    <w:rsid w:val="002C75E4"/>
    <w:rsid w:val="002D5E82"/>
    <w:rsid w:val="002E3423"/>
    <w:rsid w:val="002E4909"/>
    <w:rsid w:val="0033211C"/>
    <w:rsid w:val="0035220F"/>
    <w:rsid w:val="00377763"/>
    <w:rsid w:val="003818C8"/>
    <w:rsid w:val="003A5A4B"/>
    <w:rsid w:val="003E6890"/>
    <w:rsid w:val="003E6D16"/>
    <w:rsid w:val="003F35B3"/>
    <w:rsid w:val="0047019B"/>
    <w:rsid w:val="00480196"/>
    <w:rsid w:val="004B3812"/>
    <w:rsid w:val="004D04D2"/>
    <w:rsid w:val="004E2771"/>
    <w:rsid w:val="004E6641"/>
    <w:rsid w:val="00516779"/>
    <w:rsid w:val="00517108"/>
    <w:rsid w:val="00541DF6"/>
    <w:rsid w:val="0055188D"/>
    <w:rsid w:val="00576FC7"/>
    <w:rsid w:val="005A65A4"/>
    <w:rsid w:val="0062704A"/>
    <w:rsid w:val="006409B7"/>
    <w:rsid w:val="006458D9"/>
    <w:rsid w:val="0065060C"/>
    <w:rsid w:val="00680FB2"/>
    <w:rsid w:val="00694491"/>
    <w:rsid w:val="006C7DA0"/>
    <w:rsid w:val="00734BCF"/>
    <w:rsid w:val="007423B4"/>
    <w:rsid w:val="00760B2A"/>
    <w:rsid w:val="007C3085"/>
    <w:rsid w:val="007C49F3"/>
    <w:rsid w:val="007E210D"/>
    <w:rsid w:val="00800E8B"/>
    <w:rsid w:val="0083766A"/>
    <w:rsid w:val="008410E5"/>
    <w:rsid w:val="0088217E"/>
    <w:rsid w:val="00896EC7"/>
    <w:rsid w:val="008B1C43"/>
    <w:rsid w:val="0095033D"/>
    <w:rsid w:val="009562DC"/>
    <w:rsid w:val="00976D26"/>
    <w:rsid w:val="009809E1"/>
    <w:rsid w:val="0099290F"/>
    <w:rsid w:val="00995161"/>
    <w:rsid w:val="00A56D48"/>
    <w:rsid w:val="00A643EB"/>
    <w:rsid w:val="00A70186"/>
    <w:rsid w:val="00AB098D"/>
    <w:rsid w:val="00AC4B26"/>
    <w:rsid w:val="00AE7717"/>
    <w:rsid w:val="00B35EA0"/>
    <w:rsid w:val="00B40B02"/>
    <w:rsid w:val="00C2400C"/>
    <w:rsid w:val="00C54824"/>
    <w:rsid w:val="00C70784"/>
    <w:rsid w:val="00C747E6"/>
    <w:rsid w:val="00C93E1A"/>
    <w:rsid w:val="00CA7ED1"/>
    <w:rsid w:val="00CB732C"/>
    <w:rsid w:val="00CD6077"/>
    <w:rsid w:val="00CD61AE"/>
    <w:rsid w:val="00D16529"/>
    <w:rsid w:val="00D374D1"/>
    <w:rsid w:val="00D77E08"/>
    <w:rsid w:val="00DF3E49"/>
    <w:rsid w:val="00E046D0"/>
    <w:rsid w:val="00E07CCD"/>
    <w:rsid w:val="00E1240D"/>
    <w:rsid w:val="00E40609"/>
    <w:rsid w:val="00ED15C8"/>
    <w:rsid w:val="00EF3741"/>
    <w:rsid w:val="00F14FAE"/>
    <w:rsid w:val="00F83E85"/>
    <w:rsid w:val="00FD63C2"/>
    <w:rsid w:val="00FD7FA2"/>
    <w:rsid w:val="00FE3FC1"/>
    <w:rsid w:val="00FF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4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paragraph" w:customStyle="1" w:styleId="Normalny1">
    <w:name w:val="Normalny1"/>
    <w:rsid w:val="006458D9"/>
    <w:pPr>
      <w:suppressAutoHyphens/>
      <w:spacing w:after="0" w:line="240" w:lineRule="auto"/>
    </w:pPr>
    <w:rPr>
      <w:rFonts w:ascii="Arial" w:eastAsia="Arial Unicode MS" w:hAnsi="Arial" w:cs="Arial Unicode MS"/>
      <w:b/>
      <w:bCs/>
      <w:color w:val="000000"/>
      <w:kern w:val="1"/>
      <w:sz w:val="24"/>
      <w:szCs w:val="24"/>
      <w:u w:color="000000"/>
      <w:lang w:eastAsia="pl-PL"/>
    </w:rPr>
  </w:style>
  <w:style w:type="paragraph" w:customStyle="1" w:styleId="Adreszwrotnynakopercie1">
    <w:name w:val="Adres zwrotny na kopercie1"/>
    <w:rsid w:val="006458D9"/>
    <w:pPr>
      <w:suppressAutoHyphens/>
      <w:spacing w:after="0" w:line="240" w:lineRule="auto"/>
    </w:pPr>
    <w:rPr>
      <w:rFonts w:ascii="Arial" w:eastAsia="Arial Unicode MS" w:hAnsi="Arial" w:cs="Arial Unicode MS"/>
      <w:color w:val="000000"/>
      <w:kern w:val="1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4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1731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3</cp:revision>
  <dcterms:created xsi:type="dcterms:W3CDTF">2018-04-11T13:19:00Z</dcterms:created>
  <dcterms:modified xsi:type="dcterms:W3CDTF">2018-04-11T13:20:00Z</dcterms:modified>
</cp:coreProperties>
</file>